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2327C8DB" w14:textId="28BF42B7" w:rsidR="008D7F7D" w:rsidRPr="00973170" w:rsidRDefault="003B1B69" w:rsidP="008D7F7D">
      <w:pPr>
        <w:rPr>
          <w:rFonts w:ascii="Verdana" w:hAnsi="Verdana" w:cs="Calibri"/>
          <w:b/>
          <w:sz w:val="18"/>
          <w:szCs w:val="18"/>
        </w:rPr>
      </w:pPr>
      <w:r w:rsidRPr="0088082F">
        <w:rPr>
          <w:rFonts w:ascii="Verdana" w:hAnsi="Verdana" w:cstheme="minorHAnsi"/>
          <w:sz w:val="18"/>
          <w:szCs w:val="18"/>
        </w:rPr>
        <w:t xml:space="preserve">   </w:t>
      </w:r>
      <w:r w:rsidR="008D7F7D" w:rsidRPr="00973170">
        <w:rPr>
          <w:rFonts w:ascii="Verdana" w:hAnsi="Verdana" w:cs="Calibri"/>
          <w:b/>
          <w:sz w:val="18"/>
          <w:szCs w:val="18"/>
        </w:rPr>
        <w:t xml:space="preserve">a) budowy złącza kablowego 15 </w:t>
      </w:r>
      <w:proofErr w:type="spellStart"/>
      <w:r w:rsidR="008D7F7D" w:rsidRPr="00973170">
        <w:rPr>
          <w:rFonts w:ascii="Verdana" w:hAnsi="Verdana" w:cs="Calibri"/>
          <w:b/>
          <w:sz w:val="18"/>
          <w:szCs w:val="18"/>
        </w:rPr>
        <w:t>kV</w:t>
      </w:r>
      <w:proofErr w:type="spellEnd"/>
      <w:r w:rsidR="008D7F7D" w:rsidRPr="00973170">
        <w:rPr>
          <w:rFonts w:ascii="Verdana" w:hAnsi="Verdana" w:cs="Calibri"/>
          <w:b/>
          <w:sz w:val="18"/>
          <w:szCs w:val="18"/>
        </w:rPr>
        <w:t xml:space="preserve"> z rozdzielnicą 4-polową</w:t>
      </w:r>
      <w:r w:rsidR="00017361">
        <w:rPr>
          <w:rFonts w:ascii="Verdana" w:hAnsi="Verdana" w:cs="Calibri"/>
          <w:b/>
          <w:sz w:val="18"/>
          <w:szCs w:val="18"/>
        </w:rPr>
        <w:t xml:space="preserve"> bez SF6</w:t>
      </w:r>
      <w:r w:rsidR="008D7F7D">
        <w:rPr>
          <w:rFonts w:ascii="Verdana" w:hAnsi="Verdana" w:cs="Calibri"/>
          <w:b/>
          <w:sz w:val="18"/>
          <w:szCs w:val="18"/>
        </w:rPr>
        <w:t xml:space="preserve"> wyposażoną w pełną telemechanikę wraz z uruchomieniem </w:t>
      </w:r>
      <w:r w:rsidR="008D7F7D" w:rsidRPr="00973170">
        <w:rPr>
          <w:rFonts w:ascii="Verdana" w:hAnsi="Verdana" w:cs="Calibri"/>
          <w:b/>
          <w:sz w:val="18"/>
          <w:szCs w:val="18"/>
        </w:rPr>
        <w:t xml:space="preserve">z rozłącznikiem zdalnie sterowanym, zlokalizowanym w linii ogrodzenia na terenie stacji 110/15 </w:t>
      </w:r>
      <w:proofErr w:type="spellStart"/>
      <w:r w:rsidR="008D7F7D" w:rsidRPr="00973170">
        <w:rPr>
          <w:rFonts w:ascii="Verdana" w:hAnsi="Verdana" w:cs="Calibri"/>
          <w:b/>
          <w:sz w:val="18"/>
          <w:szCs w:val="18"/>
        </w:rPr>
        <w:t>kV</w:t>
      </w:r>
      <w:proofErr w:type="spellEnd"/>
      <w:r w:rsidR="008D7F7D" w:rsidRPr="00973170">
        <w:rPr>
          <w:rFonts w:ascii="Verdana" w:hAnsi="Verdana" w:cs="Calibri"/>
          <w:b/>
          <w:sz w:val="18"/>
          <w:szCs w:val="18"/>
        </w:rPr>
        <w:t xml:space="preserve"> Wistom przy ulicy Spalskiej w miejscowości Tomaszów Mazowiecki. </w:t>
      </w:r>
    </w:p>
    <w:p w14:paraId="48513C18"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xml:space="preserve">b) budowa linii kablowej 15 </w:t>
      </w:r>
      <w:proofErr w:type="spellStart"/>
      <w:r w:rsidRPr="00973170">
        <w:rPr>
          <w:rFonts w:ascii="Verdana" w:hAnsi="Verdana" w:cs="Calibri"/>
          <w:b/>
          <w:sz w:val="18"/>
          <w:szCs w:val="18"/>
        </w:rPr>
        <w:t>kV</w:t>
      </w:r>
      <w:proofErr w:type="spellEnd"/>
      <w:r w:rsidRPr="00973170">
        <w:rPr>
          <w:rFonts w:ascii="Verdana" w:hAnsi="Verdana" w:cs="Calibri"/>
          <w:b/>
          <w:sz w:val="18"/>
          <w:szCs w:val="18"/>
        </w:rPr>
        <w:t xml:space="preserve"> typu 3xXnRUHAKXs 1x240mm2 o szacunkowej długości ok. 100 m, wyprowadzonego z pola nr 27 w rozdzielni 15 </w:t>
      </w:r>
      <w:proofErr w:type="spellStart"/>
      <w:r w:rsidRPr="00973170">
        <w:rPr>
          <w:rFonts w:ascii="Verdana" w:hAnsi="Verdana" w:cs="Calibri"/>
          <w:b/>
          <w:sz w:val="18"/>
          <w:szCs w:val="18"/>
        </w:rPr>
        <w:t>kV</w:t>
      </w:r>
      <w:proofErr w:type="spellEnd"/>
      <w:r w:rsidRPr="00973170">
        <w:rPr>
          <w:rFonts w:ascii="Verdana" w:hAnsi="Verdana" w:cs="Calibri"/>
          <w:b/>
          <w:sz w:val="18"/>
          <w:szCs w:val="18"/>
        </w:rPr>
        <w:t xml:space="preserve"> stacji 110/15 </w:t>
      </w:r>
      <w:proofErr w:type="spellStart"/>
      <w:r w:rsidRPr="00973170">
        <w:rPr>
          <w:rFonts w:ascii="Verdana" w:hAnsi="Verdana" w:cs="Calibri"/>
          <w:b/>
          <w:sz w:val="18"/>
          <w:szCs w:val="18"/>
        </w:rPr>
        <w:t>kV</w:t>
      </w:r>
      <w:proofErr w:type="spellEnd"/>
      <w:r w:rsidRPr="00973170">
        <w:rPr>
          <w:rFonts w:ascii="Verdana" w:hAnsi="Verdana" w:cs="Calibri"/>
          <w:b/>
          <w:sz w:val="18"/>
          <w:szCs w:val="18"/>
        </w:rPr>
        <w:t xml:space="preserve"> Wistom do ww. projektowanego złącza kablowego 15 </w:t>
      </w:r>
      <w:proofErr w:type="spellStart"/>
      <w:r w:rsidRPr="00973170">
        <w:rPr>
          <w:rFonts w:ascii="Verdana" w:hAnsi="Verdana" w:cs="Calibri"/>
          <w:b/>
          <w:sz w:val="18"/>
          <w:szCs w:val="18"/>
        </w:rPr>
        <w:t>kV</w:t>
      </w:r>
      <w:proofErr w:type="spellEnd"/>
      <w:r w:rsidRPr="00973170">
        <w:rPr>
          <w:rFonts w:ascii="Verdana" w:hAnsi="Verdana" w:cs="Calibri"/>
          <w:b/>
          <w:sz w:val="18"/>
          <w:szCs w:val="18"/>
        </w:rPr>
        <w:t xml:space="preserve">.  </w:t>
      </w:r>
    </w:p>
    <w:p w14:paraId="6F7B49F2"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c) Modernizacja w zakresie dostosowania pola nr 27 w stacji WIS (Wistom) do przyłączenia odbiorcy:</w:t>
      </w:r>
    </w:p>
    <w:p w14:paraId="67D0B1F6"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1.</w:t>
      </w:r>
      <w:r>
        <w:rPr>
          <w:rFonts w:ascii="Verdana" w:hAnsi="Verdana" w:cs="Calibri"/>
          <w:b/>
          <w:sz w:val="18"/>
          <w:szCs w:val="18"/>
        </w:rPr>
        <w:t xml:space="preserve"> </w:t>
      </w:r>
      <w:r w:rsidRPr="00973170">
        <w:rPr>
          <w:rFonts w:ascii="Verdana" w:hAnsi="Verdana" w:cs="Calibri"/>
          <w:b/>
          <w:sz w:val="18"/>
          <w:szCs w:val="18"/>
        </w:rPr>
        <w:t xml:space="preserve">Zabudować nowe zabezpieczenie 15 </w:t>
      </w:r>
      <w:proofErr w:type="spellStart"/>
      <w:r w:rsidRPr="00973170">
        <w:rPr>
          <w:rFonts w:ascii="Verdana" w:hAnsi="Verdana" w:cs="Calibri"/>
          <w:b/>
          <w:sz w:val="18"/>
          <w:szCs w:val="18"/>
        </w:rPr>
        <w:t>kV</w:t>
      </w:r>
      <w:proofErr w:type="spellEnd"/>
      <w:r w:rsidRPr="00973170">
        <w:rPr>
          <w:rFonts w:ascii="Verdana" w:hAnsi="Verdana" w:cs="Calibri"/>
          <w:b/>
          <w:sz w:val="18"/>
          <w:szCs w:val="18"/>
        </w:rPr>
        <w:t xml:space="preserve"> z dodatkowymi funkcjami EAZ dla generacji: U&gt;, U&lt;, f&gt;, f&lt;, </w:t>
      </w:r>
      <w:proofErr w:type="spellStart"/>
      <w:r w:rsidRPr="00973170">
        <w:rPr>
          <w:rFonts w:ascii="Verdana" w:hAnsi="Verdana" w:cs="Calibri"/>
          <w:b/>
          <w:sz w:val="18"/>
          <w:szCs w:val="18"/>
        </w:rPr>
        <w:t>df</w:t>
      </w:r>
      <w:proofErr w:type="spellEnd"/>
      <w:r w:rsidRPr="00973170">
        <w:rPr>
          <w:rFonts w:ascii="Verdana" w:hAnsi="Verdana" w:cs="Calibri"/>
          <w:b/>
          <w:sz w:val="18"/>
          <w:szCs w:val="18"/>
        </w:rPr>
        <w:t>/</w:t>
      </w:r>
      <w:proofErr w:type="spellStart"/>
      <w:r w:rsidRPr="00973170">
        <w:rPr>
          <w:rFonts w:ascii="Verdana" w:hAnsi="Verdana" w:cs="Calibri"/>
          <w:b/>
          <w:sz w:val="18"/>
          <w:szCs w:val="18"/>
        </w:rPr>
        <w:t>dt</w:t>
      </w:r>
      <w:proofErr w:type="spellEnd"/>
      <w:r w:rsidRPr="00973170">
        <w:rPr>
          <w:rFonts w:ascii="Verdana" w:hAnsi="Verdana" w:cs="Calibri"/>
          <w:b/>
          <w:sz w:val="18"/>
          <w:szCs w:val="18"/>
        </w:rPr>
        <w:t xml:space="preserve">, od mocy zwrotnej oraz kontrolą synchronizmu, SCO rozproszone z blokadą od mocy zwrotnej, pomiary należy wyświetlić na wyświetlaczu przekaźnika (proponowany </w:t>
      </w:r>
      <w:proofErr w:type="spellStart"/>
      <w:r w:rsidRPr="00973170">
        <w:rPr>
          <w:rFonts w:ascii="Verdana" w:hAnsi="Verdana" w:cs="Calibri"/>
          <w:b/>
          <w:sz w:val="18"/>
          <w:szCs w:val="18"/>
        </w:rPr>
        <w:t>MiCOM</w:t>
      </w:r>
      <w:proofErr w:type="spellEnd"/>
      <w:r w:rsidRPr="00973170">
        <w:rPr>
          <w:rFonts w:ascii="Verdana" w:hAnsi="Verdana" w:cs="Calibri"/>
          <w:b/>
          <w:sz w:val="18"/>
          <w:szCs w:val="18"/>
        </w:rPr>
        <w:t xml:space="preserve"> P139). Należy zrealizować postanowienia instrukcji nr 30171/A, </w:t>
      </w:r>
    </w:p>
    <w:p w14:paraId="4C481DAE"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2.</w:t>
      </w:r>
      <w:r>
        <w:rPr>
          <w:rFonts w:ascii="Verdana" w:hAnsi="Verdana" w:cs="Calibri"/>
          <w:b/>
          <w:sz w:val="18"/>
          <w:szCs w:val="18"/>
        </w:rPr>
        <w:t xml:space="preserve"> </w:t>
      </w:r>
      <w:r w:rsidRPr="00973170">
        <w:rPr>
          <w:rFonts w:ascii="Verdana" w:hAnsi="Verdana" w:cs="Calibri"/>
          <w:b/>
          <w:sz w:val="18"/>
          <w:szCs w:val="18"/>
        </w:rPr>
        <w:t xml:space="preserve">Należy zabudować nowe przekładniki prądowe (przekładniki w izolacji stałej o przekładni 200-400/5/5/5A, klasa dokładności rdzeni nie gorsza niż: pomiarowych 0,2s, zabezpieczeniowy 5P 20, zabezpieczeniowy 5P 20, </w:t>
      </w:r>
      <w:proofErr w:type="spellStart"/>
      <w:r w:rsidRPr="00973170">
        <w:rPr>
          <w:rFonts w:ascii="Verdana" w:hAnsi="Verdana" w:cs="Calibri"/>
          <w:b/>
          <w:sz w:val="18"/>
          <w:szCs w:val="18"/>
        </w:rPr>
        <w:t>Ith</w:t>
      </w:r>
      <w:proofErr w:type="spellEnd"/>
      <w:r w:rsidRPr="00973170">
        <w:rPr>
          <w:rFonts w:ascii="Verdana" w:hAnsi="Verdana" w:cs="Calibri"/>
          <w:b/>
          <w:sz w:val="18"/>
          <w:szCs w:val="18"/>
        </w:rPr>
        <w:t>=100 x In, FS=&lt;5),</w:t>
      </w:r>
    </w:p>
    <w:p w14:paraId="05A78AF5"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3.</w:t>
      </w:r>
      <w:r>
        <w:rPr>
          <w:rFonts w:ascii="Verdana" w:hAnsi="Verdana" w:cs="Calibri"/>
          <w:b/>
          <w:sz w:val="18"/>
          <w:szCs w:val="18"/>
        </w:rPr>
        <w:t xml:space="preserve"> </w:t>
      </w:r>
      <w:r w:rsidRPr="00973170">
        <w:rPr>
          <w:rFonts w:ascii="Verdana" w:hAnsi="Verdana" w:cs="Calibri"/>
          <w:b/>
          <w:sz w:val="18"/>
          <w:szCs w:val="18"/>
        </w:rPr>
        <w:t xml:space="preserve">Należy sprawdzić i ewentualnie wymienić w polu: wszystkie sterowniki pakietowe (łączniki krzywkowe </w:t>
      </w:r>
      <w:proofErr w:type="spellStart"/>
      <w:r w:rsidRPr="00973170">
        <w:rPr>
          <w:rFonts w:ascii="Verdana" w:hAnsi="Verdana" w:cs="Calibri"/>
          <w:b/>
          <w:sz w:val="18"/>
          <w:szCs w:val="18"/>
        </w:rPr>
        <w:t>itd</w:t>
      </w:r>
      <w:proofErr w:type="spellEnd"/>
      <w:r w:rsidRPr="00973170">
        <w:rPr>
          <w:rFonts w:ascii="Verdana" w:hAnsi="Verdana" w:cs="Calibri"/>
          <w:b/>
          <w:sz w:val="18"/>
          <w:szCs w:val="18"/>
        </w:rPr>
        <w:t xml:space="preserve">), </w:t>
      </w:r>
      <w:proofErr w:type="spellStart"/>
      <w:r w:rsidRPr="00973170">
        <w:rPr>
          <w:rFonts w:ascii="Verdana" w:hAnsi="Verdana" w:cs="Calibri"/>
          <w:b/>
          <w:sz w:val="18"/>
          <w:szCs w:val="18"/>
        </w:rPr>
        <w:t>oprzewodowanie</w:t>
      </w:r>
      <w:proofErr w:type="spellEnd"/>
      <w:r w:rsidRPr="00973170">
        <w:rPr>
          <w:rFonts w:ascii="Verdana" w:hAnsi="Verdana" w:cs="Calibri"/>
          <w:b/>
          <w:sz w:val="18"/>
          <w:szCs w:val="18"/>
        </w:rPr>
        <w:t>, listwy (w tym listwę obwodów okrężnych), bezpieczniki, nakładki, przyciski sterownicze itd.,</w:t>
      </w:r>
    </w:p>
    <w:p w14:paraId="078A9E51"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4.</w:t>
      </w:r>
      <w:r>
        <w:rPr>
          <w:rFonts w:ascii="Verdana" w:hAnsi="Verdana" w:cs="Calibri"/>
          <w:b/>
          <w:sz w:val="18"/>
          <w:szCs w:val="18"/>
        </w:rPr>
        <w:t xml:space="preserve"> </w:t>
      </w:r>
      <w:r w:rsidRPr="00973170">
        <w:rPr>
          <w:rFonts w:ascii="Verdana" w:hAnsi="Verdana" w:cs="Calibri"/>
          <w:b/>
          <w:sz w:val="18"/>
          <w:szCs w:val="18"/>
        </w:rPr>
        <w:t>Zamontować listwę kontrolną pomiarową,</w:t>
      </w:r>
    </w:p>
    <w:p w14:paraId="6BE83D93"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5.</w:t>
      </w:r>
      <w:r>
        <w:rPr>
          <w:rFonts w:ascii="Verdana" w:hAnsi="Verdana" w:cs="Calibri"/>
          <w:b/>
          <w:sz w:val="18"/>
          <w:szCs w:val="18"/>
        </w:rPr>
        <w:t xml:space="preserve"> </w:t>
      </w:r>
      <w:r w:rsidRPr="00973170">
        <w:rPr>
          <w:rFonts w:ascii="Verdana" w:hAnsi="Verdana" w:cs="Calibri"/>
          <w:b/>
          <w:sz w:val="18"/>
          <w:szCs w:val="18"/>
        </w:rPr>
        <w:t>Odmalować, zaślepić puste miejsca w celce,</w:t>
      </w:r>
    </w:p>
    <w:p w14:paraId="478F1A6D"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6.</w:t>
      </w:r>
      <w:r>
        <w:rPr>
          <w:rFonts w:ascii="Verdana" w:hAnsi="Verdana" w:cs="Calibri"/>
          <w:b/>
          <w:sz w:val="18"/>
          <w:szCs w:val="18"/>
        </w:rPr>
        <w:t xml:space="preserve"> </w:t>
      </w:r>
      <w:r w:rsidRPr="00973170">
        <w:rPr>
          <w:rFonts w:ascii="Verdana" w:hAnsi="Verdana" w:cs="Calibri"/>
          <w:b/>
          <w:sz w:val="18"/>
          <w:szCs w:val="18"/>
        </w:rPr>
        <w:t xml:space="preserve">Przekonfigurować/doposażyć sterownik telemechaniki wraz z edycją w systemie </w:t>
      </w:r>
      <w:proofErr w:type="spellStart"/>
      <w:r w:rsidRPr="00973170">
        <w:rPr>
          <w:rFonts w:ascii="Verdana" w:hAnsi="Verdana" w:cs="Calibri"/>
          <w:b/>
          <w:sz w:val="18"/>
          <w:szCs w:val="18"/>
        </w:rPr>
        <w:t>WindEx</w:t>
      </w:r>
      <w:proofErr w:type="spellEnd"/>
      <w:r w:rsidRPr="00973170">
        <w:rPr>
          <w:rFonts w:ascii="Verdana" w:hAnsi="Verdana" w:cs="Calibri"/>
          <w:b/>
          <w:sz w:val="18"/>
          <w:szCs w:val="18"/>
        </w:rPr>
        <w:t xml:space="preserve"> oraz przekazanie po pracach końcowego pliku konfiguracji do Wydziału Specjalistycznego (SCADA ABB),</w:t>
      </w:r>
    </w:p>
    <w:p w14:paraId="57F5A256"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7.</w:t>
      </w:r>
      <w:r>
        <w:rPr>
          <w:rFonts w:ascii="Verdana" w:hAnsi="Verdana" w:cs="Calibri"/>
          <w:b/>
          <w:sz w:val="18"/>
          <w:szCs w:val="18"/>
        </w:rPr>
        <w:t xml:space="preserve"> </w:t>
      </w:r>
      <w:r w:rsidRPr="00973170">
        <w:rPr>
          <w:rFonts w:ascii="Verdana" w:hAnsi="Verdana" w:cs="Calibri"/>
          <w:b/>
          <w:sz w:val="18"/>
          <w:szCs w:val="18"/>
        </w:rPr>
        <w:t xml:space="preserve">Wykonanie dokumentacji technicznej ww. pola 15 </w:t>
      </w:r>
      <w:proofErr w:type="spellStart"/>
      <w:r w:rsidRPr="00973170">
        <w:rPr>
          <w:rFonts w:ascii="Verdana" w:hAnsi="Verdana" w:cs="Calibri"/>
          <w:b/>
          <w:sz w:val="18"/>
          <w:szCs w:val="18"/>
        </w:rPr>
        <w:t>kV</w:t>
      </w:r>
      <w:proofErr w:type="spellEnd"/>
      <w:r w:rsidRPr="00973170">
        <w:rPr>
          <w:rFonts w:ascii="Verdana" w:hAnsi="Verdana" w:cs="Calibri"/>
          <w:b/>
          <w:sz w:val="18"/>
          <w:szCs w:val="18"/>
        </w:rPr>
        <w:t xml:space="preserve"> (w zakresie całego pola),</w:t>
      </w:r>
    </w:p>
    <w:p w14:paraId="056195D0"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8.</w:t>
      </w:r>
      <w:r>
        <w:rPr>
          <w:rFonts w:ascii="Verdana" w:hAnsi="Verdana" w:cs="Calibri"/>
          <w:b/>
          <w:sz w:val="18"/>
          <w:szCs w:val="18"/>
        </w:rPr>
        <w:t xml:space="preserve"> </w:t>
      </w:r>
      <w:r w:rsidRPr="00973170">
        <w:rPr>
          <w:rFonts w:ascii="Verdana" w:hAnsi="Verdana" w:cs="Calibri"/>
          <w:b/>
          <w:sz w:val="18"/>
          <w:szCs w:val="18"/>
        </w:rPr>
        <w:t xml:space="preserve">Wykonać obliczenie nastaw dla pola 15 </w:t>
      </w:r>
      <w:proofErr w:type="spellStart"/>
      <w:r w:rsidRPr="00973170">
        <w:rPr>
          <w:rFonts w:ascii="Verdana" w:hAnsi="Verdana" w:cs="Calibri"/>
          <w:b/>
          <w:sz w:val="18"/>
          <w:szCs w:val="18"/>
        </w:rPr>
        <w:t>kV</w:t>
      </w:r>
      <w:proofErr w:type="spellEnd"/>
      <w:r w:rsidRPr="00973170">
        <w:rPr>
          <w:rFonts w:ascii="Verdana" w:hAnsi="Verdana" w:cs="Calibri"/>
          <w:b/>
          <w:sz w:val="18"/>
          <w:szCs w:val="18"/>
        </w:rPr>
        <w:t>,</w:t>
      </w:r>
    </w:p>
    <w:p w14:paraId="0BBCF481"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9.</w:t>
      </w:r>
      <w:r>
        <w:rPr>
          <w:rFonts w:ascii="Verdana" w:hAnsi="Verdana" w:cs="Calibri"/>
          <w:b/>
          <w:sz w:val="18"/>
          <w:szCs w:val="18"/>
        </w:rPr>
        <w:t xml:space="preserve"> </w:t>
      </w:r>
      <w:r w:rsidRPr="00973170">
        <w:rPr>
          <w:rFonts w:ascii="Verdana" w:hAnsi="Verdana" w:cs="Calibri"/>
          <w:b/>
          <w:sz w:val="18"/>
          <w:szCs w:val="18"/>
        </w:rPr>
        <w:t>Pole po wykonanych pracach należy pozostawić w pełni sprawne,</w:t>
      </w:r>
    </w:p>
    <w:p w14:paraId="6AFCA538"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10.</w:t>
      </w:r>
      <w:r>
        <w:rPr>
          <w:rFonts w:ascii="Verdana" w:hAnsi="Verdana" w:cs="Calibri"/>
          <w:b/>
          <w:sz w:val="18"/>
          <w:szCs w:val="18"/>
        </w:rPr>
        <w:t xml:space="preserve"> </w:t>
      </w:r>
      <w:r w:rsidRPr="00973170">
        <w:rPr>
          <w:rFonts w:ascii="Verdana" w:hAnsi="Verdana" w:cs="Calibri"/>
          <w:b/>
          <w:sz w:val="18"/>
          <w:szCs w:val="18"/>
        </w:rPr>
        <w:t>Zdemontowane wyposażenie przekazać do Wydziału Specjalistycznego lub zutylizować po uzgodnieniu z ww. Wydziałem</w:t>
      </w:r>
    </w:p>
    <w:p w14:paraId="795B438F" w14:textId="77777777" w:rsidR="008D7F7D" w:rsidRPr="00973170" w:rsidRDefault="008D7F7D" w:rsidP="008D7F7D">
      <w:pPr>
        <w:rPr>
          <w:rFonts w:ascii="Verdana" w:hAnsi="Verdana" w:cs="Calibri"/>
          <w:b/>
          <w:sz w:val="18"/>
          <w:szCs w:val="18"/>
        </w:rPr>
      </w:pPr>
    </w:p>
    <w:p w14:paraId="3D3BCCA5"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Rozbudować sieć strukturalną na stacji o niezbędne okablowanie potrzebne do transmisji danych z projektowanych urządzeń.</w:t>
      </w:r>
    </w:p>
    <w:p w14:paraId="3A26ADFC"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Dla realizacji rezerwowej transmisji danych (dane pomiarowe) przez sieć GSM stosować modemy/routery spełniające wymagania:</w:t>
      </w:r>
    </w:p>
    <w:p w14:paraId="78ED606E"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lastRenderedPageBreak/>
        <w:t>- możliwość pracy 2 kart SIM (jedna karta działa jako podstawowa droga transmisji a druga zapewnia redundancję połączenia jeśli przez pierwszą nie ma połączenia)</w:t>
      </w:r>
    </w:p>
    <w:p w14:paraId="45994B87"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- 1 wejście antenowe;</w:t>
      </w:r>
    </w:p>
    <w:p w14:paraId="24F365B8"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xml:space="preserve">- Interfejs ETH 1 x 10/100 </w:t>
      </w:r>
      <w:proofErr w:type="spellStart"/>
      <w:r w:rsidRPr="00973170">
        <w:rPr>
          <w:rFonts w:ascii="Verdana" w:hAnsi="Verdana" w:cs="Calibri"/>
          <w:b/>
          <w:sz w:val="18"/>
          <w:szCs w:val="18"/>
        </w:rPr>
        <w:t>Mbps</w:t>
      </w:r>
      <w:proofErr w:type="spellEnd"/>
      <w:r w:rsidRPr="00973170">
        <w:rPr>
          <w:rFonts w:ascii="Verdana" w:hAnsi="Verdana" w:cs="Calibri"/>
          <w:b/>
          <w:sz w:val="18"/>
          <w:szCs w:val="18"/>
        </w:rPr>
        <w:t>;</w:t>
      </w:r>
    </w:p>
    <w:p w14:paraId="2891F7FF"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zasilanie 9 – 48 V DC;</w:t>
      </w:r>
    </w:p>
    <w:p w14:paraId="02E3B54D"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temperatura pracy w zakresie od  -25 do +60°C;</w:t>
      </w:r>
    </w:p>
    <w:p w14:paraId="74AEFF45"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klasa szczelności co najmniej IP30;</w:t>
      </w:r>
    </w:p>
    <w:p w14:paraId="7883F207"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Montaż na szynie DIN;</w:t>
      </w:r>
    </w:p>
    <w:p w14:paraId="78E8DFF7"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obsługa GPRS/3G/LTE i LTE 450;</w:t>
      </w:r>
    </w:p>
    <w:p w14:paraId="18E4F674" w14:textId="77777777" w:rsidR="008D7F7D" w:rsidRPr="00973170" w:rsidRDefault="008D7F7D" w:rsidP="008D7F7D">
      <w:pPr>
        <w:rPr>
          <w:rFonts w:ascii="Verdana" w:hAnsi="Verdana" w:cs="Calibri"/>
          <w:b/>
          <w:sz w:val="18"/>
          <w:szCs w:val="18"/>
          <w:lang w:val="en-GB"/>
        </w:rPr>
      </w:pPr>
      <w:r w:rsidRPr="00973170">
        <w:rPr>
          <w:rFonts w:ascii="Verdana" w:hAnsi="Verdana" w:cs="Calibri"/>
          <w:b/>
          <w:sz w:val="18"/>
          <w:szCs w:val="18"/>
          <w:lang w:val="en-GB"/>
        </w:rPr>
        <w:t>- IPsec /VPN/GRE/L2TP/PPTP;</w:t>
      </w:r>
    </w:p>
    <w:p w14:paraId="22CF6D06"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Zarządzanie przez serwer, lokalnie poprzez LAN, oraz zdalnie poprzez WAN;</w:t>
      </w:r>
    </w:p>
    <w:p w14:paraId="0A965174"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konfiguracja WEB serwer, SSH, kopia zapasowa i odtwarzanie konfiguracji;</w:t>
      </w:r>
    </w:p>
    <w:p w14:paraId="43BF938D"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xml:space="preserve">- Protokoły PPP, </w:t>
      </w:r>
      <w:proofErr w:type="spellStart"/>
      <w:r w:rsidRPr="00973170">
        <w:rPr>
          <w:rFonts w:ascii="Verdana" w:hAnsi="Verdana" w:cs="Calibri"/>
          <w:b/>
          <w:sz w:val="18"/>
          <w:szCs w:val="18"/>
        </w:rPr>
        <w:t>PPPoE</w:t>
      </w:r>
      <w:proofErr w:type="spellEnd"/>
      <w:r w:rsidRPr="00973170">
        <w:rPr>
          <w:rFonts w:ascii="Verdana" w:hAnsi="Verdana" w:cs="Calibri"/>
          <w:b/>
          <w:sz w:val="18"/>
          <w:szCs w:val="18"/>
        </w:rPr>
        <w:t xml:space="preserve">, TCP, UDP, DHCP, ICMP, NAT,  </w:t>
      </w:r>
      <w:proofErr w:type="spellStart"/>
      <w:r w:rsidRPr="00973170">
        <w:rPr>
          <w:rFonts w:ascii="Verdana" w:hAnsi="Verdana" w:cs="Calibri"/>
          <w:b/>
          <w:sz w:val="18"/>
          <w:szCs w:val="18"/>
        </w:rPr>
        <w:t>HTTPs</w:t>
      </w:r>
      <w:proofErr w:type="spellEnd"/>
      <w:r w:rsidRPr="00973170">
        <w:rPr>
          <w:rFonts w:ascii="Verdana" w:hAnsi="Verdana" w:cs="Calibri"/>
          <w:b/>
          <w:sz w:val="18"/>
          <w:szCs w:val="18"/>
        </w:rPr>
        <w:t>, DNS, ARP, NTP, SMTP, VLAN, SSH2, DDNS, LwM2M, TR069</w:t>
      </w:r>
    </w:p>
    <w:p w14:paraId="278C5BD8" w14:textId="77777777" w:rsidR="008D7F7D" w:rsidRPr="00973170" w:rsidRDefault="008D7F7D" w:rsidP="008D7F7D">
      <w:pPr>
        <w:rPr>
          <w:rFonts w:ascii="Verdana" w:hAnsi="Verdana" w:cs="Calibri"/>
          <w:b/>
          <w:sz w:val="18"/>
          <w:szCs w:val="18"/>
        </w:rPr>
      </w:pPr>
    </w:p>
    <w:p w14:paraId="4EAC3C38"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Zgodnie z WBSE w stacjach elektroenergetycznych WN/SN w układy pomiarowe należy wyposażać pola liniowe SN. (przy projektowaniu i budowie nowych oraz modernizacji i utrzymaniu istniejących sieci elektroenergetycznych)</w:t>
      </w:r>
    </w:p>
    <w:p w14:paraId="408F0683" w14:textId="77777777" w:rsidR="008D7F7D" w:rsidRPr="00973170" w:rsidRDefault="008D7F7D" w:rsidP="008D7F7D">
      <w:pPr>
        <w:rPr>
          <w:rFonts w:ascii="Verdana" w:hAnsi="Verdana" w:cs="Calibri"/>
          <w:b/>
          <w:sz w:val="18"/>
          <w:szCs w:val="18"/>
        </w:rPr>
      </w:pPr>
    </w:p>
    <w:p w14:paraId="49F9A515"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 xml:space="preserve">Układy pomiarowe bilansowo-kontrolne powinny spełniać wymagania obowiązującej </w:t>
      </w:r>
      <w:proofErr w:type="spellStart"/>
      <w:r w:rsidRPr="00973170">
        <w:rPr>
          <w:rFonts w:ascii="Verdana" w:hAnsi="Verdana" w:cs="Calibri"/>
          <w:b/>
          <w:sz w:val="18"/>
          <w:szCs w:val="18"/>
        </w:rPr>
        <w:t>IRiESD</w:t>
      </w:r>
      <w:proofErr w:type="spellEnd"/>
      <w:r w:rsidRPr="00973170">
        <w:rPr>
          <w:rFonts w:ascii="Verdana" w:hAnsi="Verdana" w:cs="Calibri"/>
          <w:b/>
          <w:sz w:val="18"/>
          <w:szCs w:val="18"/>
        </w:rPr>
        <w:t xml:space="preserve"> i obowiązujących WBSE Tom 7 w szczególności:</w:t>
      </w:r>
    </w:p>
    <w:p w14:paraId="093EFA23"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1.</w:t>
      </w:r>
      <w:r>
        <w:rPr>
          <w:rFonts w:ascii="Verdana" w:hAnsi="Verdana" w:cs="Calibri"/>
          <w:b/>
          <w:sz w:val="18"/>
          <w:szCs w:val="18"/>
        </w:rPr>
        <w:t xml:space="preserve"> </w:t>
      </w:r>
      <w:r w:rsidRPr="00973170">
        <w:rPr>
          <w:rFonts w:ascii="Verdana" w:hAnsi="Verdana" w:cs="Calibri"/>
          <w:b/>
          <w:sz w:val="18"/>
          <w:szCs w:val="18"/>
        </w:rPr>
        <w:t xml:space="preserve">Muszą być wyposażone w przekładniki prądowe o rdzeniach pomiarowych w klasie dokładności nie gorszej niż 0,2s i napięciowe o uzwojeniach pomiarowych w klasie dokładności nie gorszej niż 0,2 z dedykowanymi rdzeniami/uzwojeniami pomiarowymi  z uwzględnieniem możliwie najmniejszej liczby łączeń do licznikowych listew kontrolno-pomiarowych przystosowanych do plombowania. Do uzwojeń wtórnych przekładników w układach pomiarowych nie należy przyłączać innych przyrządów poza licznikami energii elektrycznej </w:t>
      </w:r>
    </w:p>
    <w:p w14:paraId="500ECC95"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2.</w:t>
      </w:r>
      <w:r>
        <w:rPr>
          <w:rFonts w:ascii="Verdana" w:hAnsi="Verdana" w:cs="Calibri"/>
          <w:b/>
          <w:sz w:val="18"/>
          <w:szCs w:val="18"/>
        </w:rPr>
        <w:t xml:space="preserve"> </w:t>
      </w:r>
      <w:r w:rsidRPr="00973170">
        <w:rPr>
          <w:rFonts w:ascii="Verdana" w:hAnsi="Verdana" w:cs="Calibri"/>
          <w:b/>
          <w:sz w:val="18"/>
          <w:szCs w:val="18"/>
        </w:rPr>
        <w:t xml:space="preserve">Przekładniki napięciowe w układach bilansowo-kontrolnych oraz potrzeb własnych należy zabezpieczyć po stronie uzwojenia wtórnego. </w:t>
      </w:r>
    </w:p>
    <w:p w14:paraId="62CB4EFC"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3.</w:t>
      </w:r>
      <w:r>
        <w:rPr>
          <w:rFonts w:ascii="Verdana" w:hAnsi="Verdana" w:cs="Calibri"/>
          <w:b/>
          <w:sz w:val="18"/>
          <w:szCs w:val="18"/>
        </w:rPr>
        <w:t xml:space="preserve"> </w:t>
      </w:r>
      <w:r w:rsidRPr="00973170">
        <w:rPr>
          <w:rFonts w:ascii="Verdana" w:hAnsi="Verdana" w:cs="Calibri"/>
          <w:b/>
          <w:sz w:val="18"/>
          <w:szCs w:val="18"/>
        </w:rPr>
        <w:t xml:space="preserve">Moc znamionowa rdzeni i uzwojeń przekładników pomiarowych powinna zostać dobrana tak, żeby obciążenie strony wtórnej zawierało się miedzy 25%, a 100% wartości nominalnej mocy uzwojeń/rdzeni tych przekładników. W przypadku przekładników, których parametry znamionowe umożliwiają obciążenie strony wtórnej w innym zakresie, obciążenie strony wtórnej należy dobierać do znamionowego zakresu obciążalności przekładników. </w:t>
      </w:r>
    </w:p>
    <w:p w14:paraId="2CA2181A"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4.</w:t>
      </w:r>
      <w:r>
        <w:rPr>
          <w:rFonts w:ascii="Verdana" w:hAnsi="Verdana" w:cs="Calibri"/>
          <w:b/>
          <w:sz w:val="18"/>
          <w:szCs w:val="18"/>
        </w:rPr>
        <w:t xml:space="preserve"> </w:t>
      </w:r>
      <w:r w:rsidRPr="00973170">
        <w:rPr>
          <w:rFonts w:ascii="Verdana" w:hAnsi="Verdana" w:cs="Calibri"/>
          <w:b/>
          <w:sz w:val="18"/>
          <w:szCs w:val="18"/>
        </w:rPr>
        <w:t>Nie należy stosować rezystorów dociążających dla przekładników napięciowych oraz prądowych. (W uzasadnionych przypadkach, poza technicznie niezbędnymi, dopuszcza się dociążenie przekładników prądowych i napięciowych atestowanymi rezystorami dociążającymi instalowanymi w obudowach przystosowanych do plombowania.</w:t>
      </w:r>
    </w:p>
    <w:p w14:paraId="61836F44"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5.</w:t>
      </w:r>
      <w:r>
        <w:rPr>
          <w:rFonts w:ascii="Verdana" w:hAnsi="Verdana" w:cs="Calibri"/>
          <w:b/>
          <w:sz w:val="18"/>
          <w:szCs w:val="18"/>
        </w:rPr>
        <w:t xml:space="preserve"> </w:t>
      </w:r>
      <w:r w:rsidRPr="00973170">
        <w:rPr>
          <w:rFonts w:ascii="Verdana" w:hAnsi="Verdana" w:cs="Calibri"/>
          <w:b/>
          <w:sz w:val="18"/>
          <w:szCs w:val="18"/>
        </w:rPr>
        <w:t>Współczynnik bezpieczeństwa przyrządu (FS) dla przekładników prądowych w układach pomiarowych powinien być ≤5.</w:t>
      </w:r>
    </w:p>
    <w:p w14:paraId="0A506B08"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6.</w:t>
      </w:r>
      <w:r>
        <w:rPr>
          <w:rFonts w:ascii="Verdana" w:hAnsi="Verdana" w:cs="Calibri"/>
          <w:b/>
          <w:sz w:val="18"/>
          <w:szCs w:val="18"/>
        </w:rPr>
        <w:t xml:space="preserve"> </w:t>
      </w:r>
      <w:r w:rsidRPr="00973170">
        <w:rPr>
          <w:rFonts w:ascii="Verdana" w:hAnsi="Verdana" w:cs="Calibri"/>
          <w:b/>
          <w:sz w:val="18"/>
          <w:szCs w:val="18"/>
        </w:rPr>
        <w:t xml:space="preserve">Liczniki energii elektrycznej muszą być statyczne, czterokwadrantowe, wielostrefowe, 3-fazowe z wbudowanym zegarem sterującym, wykonanie zgodne z obowiązującymi na obszarze Rzeczpospolitej Polskiej przepisami. (w szczególności muszą spełniać wymagania określone w Rozporządzeniu Ministra Klimatu i Środowiska z dnia 22 marca 2022 roku w sprawie systemu pomiarowego dla kategorii A i Rozporządzeniu Ministra Klimatu i Środowiska z dnia 22.03.2023 </w:t>
      </w:r>
      <w:r w:rsidRPr="00973170">
        <w:rPr>
          <w:rFonts w:ascii="Verdana" w:hAnsi="Verdana" w:cs="Calibri"/>
          <w:b/>
          <w:sz w:val="18"/>
          <w:szCs w:val="18"/>
        </w:rPr>
        <w:lastRenderedPageBreak/>
        <w:t xml:space="preserve">roku w sprawie szczegółowych warunków funkcjonowania systemu elektroenergetycznego). </w:t>
      </w:r>
    </w:p>
    <w:p w14:paraId="4A26D7E4"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7.</w:t>
      </w:r>
      <w:r>
        <w:rPr>
          <w:rFonts w:ascii="Verdana" w:hAnsi="Verdana" w:cs="Calibri"/>
          <w:b/>
          <w:sz w:val="18"/>
          <w:szCs w:val="18"/>
        </w:rPr>
        <w:t xml:space="preserve"> </w:t>
      </w:r>
      <w:r w:rsidRPr="00973170">
        <w:rPr>
          <w:rFonts w:ascii="Verdana" w:hAnsi="Verdana" w:cs="Calibri"/>
          <w:b/>
          <w:sz w:val="18"/>
          <w:szCs w:val="18"/>
        </w:rPr>
        <w:t xml:space="preserve">Dodatkowo muszą mieć możliwość zdalnej i lokalnej zmiany metody pomiaru i rejestracji energii z metody wektorowej na metodę arytmetyczną, rejestracje i przechowywanie w pamięci pomiarów wymaganych profili obciążenia oraz zapewniać odczyt lokalny w przypadku awarii łączy transmisyjnych lub w celach kontrolnych. W przypadku urządzeń, które nie podlegają prawnej kontroli metrologicznej lub dla których nie jest wymagana homologacja, urządzenie musi posiadać odpowiednie świadectwo badań (świadectwo wzorcowania), potwierdzające poprawność pomiarów zgodnie z obowiązującymi normami i przepisami. Powyższe badania powinny być wykonane przez uprawnione laboratoria posiadające akredytację w przedmiotowym zakresie. Okres pomiędzy kolejnymi </w:t>
      </w:r>
      <w:proofErr w:type="spellStart"/>
      <w:r w:rsidRPr="00973170">
        <w:rPr>
          <w:rFonts w:ascii="Verdana" w:hAnsi="Verdana" w:cs="Calibri"/>
          <w:b/>
          <w:sz w:val="18"/>
          <w:szCs w:val="18"/>
        </w:rPr>
        <w:t>wzorcowaniami</w:t>
      </w:r>
      <w:proofErr w:type="spellEnd"/>
      <w:r w:rsidRPr="00973170">
        <w:rPr>
          <w:rFonts w:ascii="Verdana" w:hAnsi="Verdana" w:cs="Calibri"/>
          <w:b/>
          <w:sz w:val="18"/>
          <w:szCs w:val="18"/>
        </w:rPr>
        <w:t xml:space="preserve"> tych urządzeń (za wyjątkiem przekładników pomiarowych prądowych i napięciowych) nie powinien przekraczać okresu ważności cech legalizacyjnych lub zabezpieczających (MID) licznika energii czynnej zainstalowanego w tym samym układzie pomiarowo-rozliczeniowym. Okres między kolejnymi </w:t>
      </w:r>
      <w:proofErr w:type="spellStart"/>
      <w:r w:rsidRPr="00973170">
        <w:rPr>
          <w:rFonts w:ascii="Verdana" w:hAnsi="Verdana" w:cs="Calibri"/>
          <w:b/>
          <w:sz w:val="18"/>
          <w:szCs w:val="18"/>
        </w:rPr>
        <w:t>wzorcowaniami</w:t>
      </w:r>
      <w:proofErr w:type="spellEnd"/>
      <w:r w:rsidRPr="00973170">
        <w:rPr>
          <w:rFonts w:ascii="Verdana" w:hAnsi="Verdana" w:cs="Calibri"/>
          <w:b/>
          <w:sz w:val="18"/>
          <w:szCs w:val="18"/>
        </w:rPr>
        <w:t xml:space="preserve"> liczników, które nie podlegają prawnej kontroli metrologicznej, jest równy okresowi ważności legalizacji liczników klasy C, które podlegają tej kontroli, zgodnie z przepisami odrębnymi. Urządzenia podlegające wzorcowaniu powinny posiadać cechę zabezpieczającą nałożoną przez producenta lub laboratorium oraz nałożoną przez laboratorium cechę potwierdzającą dokonanie wzorcowania.</w:t>
      </w:r>
    </w:p>
    <w:p w14:paraId="4F351254"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8.</w:t>
      </w:r>
      <w:r>
        <w:rPr>
          <w:rFonts w:ascii="Verdana" w:hAnsi="Verdana" w:cs="Calibri"/>
          <w:b/>
          <w:sz w:val="18"/>
          <w:szCs w:val="18"/>
        </w:rPr>
        <w:t xml:space="preserve">   </w:t>
      </w:r>
      <w:r w:rsidRPr="00973170">
        <w:rPr>
          <w:rFonts w:ascii="Verdana" w:hAnsi="Verdana" w:cs="Calibri"/>
          <w:b/>
          <w:sz w:val="18"/>
          <w:szCs w:val="18"/>
        </w:rPr>
        <w:t>Muszą posiadać najmniej dwa niezależne interfejsy elektryczne typu RS485 lub RS 232 oraz port Ethernet (LAN)</w:t>
      </w:r>
    </w:p>
    <w:p w14:paraId="420D0BD0"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9.</w:t>
      </w:r>
      <w:r>
        <w:rPr>
          <w:rFonts w:ascii="Verdana" w:hAnsi="Verdana" w:cs="Calibri"/>
          <w:b/>
          <w:sz w:val="18"/>
          <w:szCs w:val="18"/>
        </w:rPr>
        <w:t xml:space="preserve"> </w:t>
      </w:r>
      <w:r w:rsidRPr="00973170">
        <w:rPr>
          <w:rFonts w:ascii="Verdana" w:hAnsi="Verdana" w:cs="Calibri"/>
          <w:b/>
          <w:sz w:val="18"/>
          <w:szCs w:val="18"/>
        </w:rPr>
        <w:t xml:space="preserve">Z liczników energii elektrycznej należy wyprowadzić zdalną transmisję danych pomiarowych dwutorową. Interfejs Ethernet 10/100 </w:t>
      </w:r>
      <w:proofErr w:type="spellStart"/>
      <w:r w:rsidRPr="00973170">
        <w:rPr>
          <w:rFonts w:ascii="Verdana" w:hAnsi="Verdana" w:cs="Calibri"/>
          <w:b/>
          <w:sz w:val="18"/>
          <w:szCs w:val="18"/>
        </w:rPr>
        <w:t>Mbps</w:t>
      </w:r>
      <w:proofErr w:type="spellEnd"/>
      <w:r w:rsidRPr="00973170">
        <w:rPr>
          <w:rFonts w:ascii="Verdana" w:hAnsi="Verdana" w:cs="Calibri"/>
          <w:b/>
          <w:sz w:val="18"/>
          <w:szCs w:val="18"/>
        </w:rPr>
        <w:t xml:space="preserve"> (gniazdo RJ-45) jako drogę podstawową oraz GPRS (w technologii LTE 450 wraz z 2G i 4G) jako rezerwową drogę transmisji danych. Szyna danych RS 485 winna być łączona w punktach węzłowych za pomocą złączek szynowych 3 piętrowych. Nie należy stosować trójników (rozgałęźników) telefonicznych </w:t>
      </w:r>
    </w:p>
    <w:p w14:paraId="098B089A"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10.</w:t>
      </w:r>
      <w:r>
        <w:rPr>
          <w:rFonts w:ascii="Verdana" w:hAnsi="Verdana" w:cs="Calibri"/>
          <w:b/>
          <w:sz w:val="18"/>
          <w:szCs w:val="18"/>
        </w:rPr>
        <w:t xml:space="preserve"> </w:t>
      </w:r>
      <w:r w:rsidRPr="00973170">
        <w:rPr>
          <w:rFonts w:ascii="Verdana" w:hAnsi="Verdana" w:cs="Calibri"/>
          <w:b/>
          <w:sz w:val="18"/>
          <w:szCs w:val="18"/>
        </w:rPr>
        <w:t>Układy pomiarowe należy instalować w oddzielnych nowoprojektowanych szafach pomiarowych zlokalizowanych w pomieszczeniach nastawni lub wykorzystać szafy pomiarowe istniejące. Należy unikać zbyt niskiego usytuowania liczników.</w:t>
      </w:r>
    </w:p>
    <w:p w14:paraId="35D5ADD9"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11.</w:t>
      </w:r>
      <w:r>
        <w:rPr>
          <w:rFonts w:ascii="Verdana" w:hAnsi="Verdana" w:cs="Calibri"/>
          <w:b/>
          <w:sz w:val="18"/>
          <w:szCs w:val="18"/>
        </w:rPr>
        <w:t xml:space="preserve"> </w:t>
      </w:r>
      <w:r w:rsidRPr="00973170">
        <w:rPr>
          <w:rFonts w:ascii="Verdana" w:hAnsi="Verdana" w:cs="Calibri"/>
          <w:b/>
          <w:sz w:val="18"/>
          <w:szCs w:val="18"/>
        </w:rPr>
        <w:t xml:space="preserve">Listwy kontrolno-pomiarowe muszą posiadać zaciski sprężynowe do podłączania obwodów wtórnych układów pomiarowych zabezpieczania (w postaci bezpieczników topikowych) w torach napięciowych jeżeli warunki zwarciowe tego wymagają, powinny umożliwiać połącznie urządzenia kontrolnego (np. analizator obwodów trójfazowych, licznik kontrolny) . </w:t>
      </w:r>
    </w:p>
    <w:p w14:paraId="617B369F" w14:textId="77777777" w:rsidR="008D7F7D" w:rsidRPr="00973170" w:rsidRDefault="008D7F7D" w:rsidP="008D7F7D">
      <w:pPr>
        <w:rPr>
          <w:rFonts w:ascii="Verdana" w:hAnsi="Verdana" w:cs="Calibri"/>
          <w:b/>
          <w:sz w:val="18"/>
          <w:szCs w:val="18"/>
        </w:rPr>
      </w:pPr>
      <w:r w:rsidRPr="00973170">
        <w:rPr>
          <w:rFonts w:ascii="Verdana" w:hAnsi="Verdana" w:cs="Calibri"/>
          <w:b/>
          <w:sz w:val="18"/>
          <w:szCs w:val="18"/>
        </w:rPr>
        <w:t>12.</w:t>
      </w:r>
      <w:r>
        <w:rPr>
          <w:rFonts w:ascii="Verdana" w:hAnsi="Verdana" w:cs="Calibri"/>
          <w:b/>
          <w:sz w:val="18"/>
          <w:szCs w:val="18"/>
        </w:rPr>
        <w:t xml:space="preserve"> </w:t>
      </w:r>
      <w:r w:rsidRPr="00973170">
        <w:rPr>
          <w:rFonts w:ascii="Verdana" w:hAnsi="Verdana" w:cs="Calibri"/>
          <w:b/>
          <w:sz w:val="18"/>
          <w:szCs w:val="18"/>
        </w:rPr>
        <w:t>Do liczników należy doprowadzić napięcie pomocnicze (dodatkowe) z potrzeb własnych stacji.</w:t>
      </w:r>
    </w:p>
    <w:p w14:paraId="4EEB54F7" w14:textId="77777777" w:rsidR="008D7F7D" w:rsidRPr="00973170" w:rsidRDefault="008D7F7D" w:rsidP="008D7F7D">
      <w:pPr>
        <w:rPr>
          <w:rFonts w:ascii="Verdana" w:hAnsi="Verdana" w:cs="Calibri"/>
          <w:b/>
          <w:sz w:val="18"/>
          <w:szCs w:val="18"/>
        </w:rPr>
      </w:pPr>
    </w:p>
    <w:p w14:paraId="19C140CD" w14:textId="35277474" w:rsidR="003B1B69" w:rsidRPr="0088082F" w:rsidRDefault="008D7F7D" w:rsidP="008D7F7D">
      <w:pPr>
        <w:pStyle w:val="Nagwek1"/>
        <w:numPr>
          <w:ilvl w:val="0"/>
          <w:numId w:val="0"/>
        </w:numPr>
        <w:ind w:left="432"/>
        <w:rPr>
          <w:rFonts w:ascii="Verdana" w:hAnsi="Verdana" w:cstheme="minorHAnsi"/>
          <w:sz w:val="18"/>
          <w:szCs w:val="18"/>
        </w:rPr>
      </w:pPr>
      <w:r w:rsidRPr="00973170">
        <w:rPr>
          <w:rFonts w:ascii="Verdana" w:hAnsi="Verdana" w:cs="Calibri"/>
          <w:sz w:val="18"/>
          <w:szCs w:val="18"/>
        </w:rPr>
        <w:t>Uwaga: Wszystkie urządzenia, elementy układów pomiarowych dostarcza wykonawca</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lastRenderedPageBreak/>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w:t>
      </w:r>
      <w:r w:rsidRPr="0088082F">
        <w:rPr>
          <w:rFonts w:ascii="Verdana" w:hAnsi="Verdana" w:cs="Arial"/>
          <w:sz w:val="18"/>
          <w:szCs w:val="18"/>
        </w:rPr>
        <w:lastRenderedPageBreak/>
        <w:t xml:space="preserve">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71661B62"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odbiorców dla całej realizacji nie będzie trwał, łącznie w całym okresie wykonywania, nie dłużej niż: </w:t>
      </w:r>
      <w:r w:rsidR="00017361" w:rsidRPr="00017361">
        <w:rPr>
          <w:rFonts w:ascii="Verdana" w:hAnsi="Verdana"/>
          <w:b/>
          <w:bCs/>
          <w:sz w:val="18"/>
          <w:szCs w:val="18"/>
          <w:lang w:eastAsia="x-none"/>
        </w:rPr>
        <w:t>0</w:t>
      </w:r>
      <w:r w:rsidRPr="00017361">
        <w:rPr>
          <w:rFonts w:ascii="Verdana" w:hAnsi="Verdana"/>
          <w:b/>
          <w:bCs/>
          <w:sz w:val="18"/>
          <w:szCs w:val="18"/>
          <w:lang w:val="x-none" w:eastAsia="x-none"/>
        </w:rPr>
        <w:t xml:space="preserve"> godzin</w:t>
      </w:r>
      <w:r w:rsidR="00F8795A" w:rsidRPr="00017361">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8D7F7D"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8D7F7D">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8D7F7D"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8D7F7D">
        <w:rPr>
          <w:rFonts w:ascii="Verdana" w:hAnsi="Verdana"/>
          <w:bCs/>
          <w:strike/>
          <w:sz w:val="18"/>
          <w:szCs w:val="18"/>
          <w:lang w:val="x-none" w:eastAsia="x-none"/>
        </w:rPr>
        <w:t xml:space="preserve">W celu dotrzymania maksymalnych czasów </w:t>
      </w:r>
      <w:proofErr w:type="spellStart"/>
      <w:r w:rsidRPr="008D7F7D">
        <w:rPr>
          <w:rFonts w:ascii="Verdana" w:hAnsi="Verdana"/>
          <w:bCs/>
          <w:strike/>
          <w:sz w:val="18"/>
          <w:szCs w:val="18"/>
          <w:lang w:val="x-none" w:eastAsia="x-none"/>
        </w:rPr>
        <w:t>wyłączeń</w:t>
      </w:r>
      <w:proofErr w:type="spellEnd"/>
      <w:r w:rsidRPr="008D7F7D">
        <w:rPr>
          <w:rFonts w:ascii="Verdana" w:hAnsi="Verdana"/>
          <w:bCs/>
          <w:strike/>
          <w:sz w:val="18"/>
          <w:szCs w:val="18"/>
          <w:lang w:val="x-none" w:eastAsia="x-none"/>
        </w:rPr>
        <w:t xml:space="preserve"> dla Odbiorców, wykonawca zasili przewidziane do wyłączenia stacje transformatorowe 15/0,4 </w:t>
      </w:r>
      <w:proofErr w:type="spellStart"/>
      <w:r w:rsidRPr="008D7F7D">
        <w:rPr>
          <w:rFonts w:ascii="Verdana" w:hAnsi="Verdana"/>
          <w:bCs/>
          <w:strike/>
          <w:sz w:val="18"/>
          <w:szCs w:val="18"/>
          <w:lang w:val="x-none" w:eastAsia="x-none"/>
        </w:rPr>
        <w:t>kV</w:t>
      </w:r>
      <w:proofErr w:type="spellEnd"/>
      <w:r w:rsidRPr="008D7F7D">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8D7F7D">
        <w:rPr>
          <w:rFonts w:ascii="Verdana" w:hAnsi="Verdana"/>
          <w:bCs/>
          <w:strike/>
          <w:sz w:val="18"/>
          <w:szCs w:val="18"/>
          <w:lang w:val="x-none" w:eastAsia="x-none"/>
        </w:rPr>
        <w:t>samodopuszczeń</w:t>
      </w:r>
      <w:proofErr w:type="spellEnd"/>
      <w:r w:rsidRPr="008D7F7D">
        <w:rPr>
          <w:rFonts w:ascii="Verdana" w:hAnsi="Verdana"/>
          <w:bCs/>
          <w:strike/>
          <w:sz w:val="18"/>
          <w:szCs w:val="18"/>
          <w:lang w:val="x-none" w:eastAsia="x-none"/>
        </w:rPr>
        <w:t xml:space="preserve">. Wykonawca jest zobowiązany do zabezpieczenia rezerwowego </w:t>
      </w:r>
      <w:r w:rsidRPr="008D7F7D">
        <w:rPr>
          <w:rFonts w:ascii="Verdana" w:hAnsi="Verdana"/>
          <w:bCs/>
          <w:strike/>
          <w:sz w:val="18"/>
          <w:szCs w:val="18"/>
          <w:lang w:val="x-none" w:eastAsia="x-none"/>
        </w:rPr>
        <w:lastRenderedPageBreak/>
        <w:t xml:space="preserve">zasilania dla stacji transformatorowych 15/0,4 </w:t>
      </w:r>
      <w:proofErr w:type="spellStart"/>
      <w:r w:rsidRPr="008D7F7D">
        <w:rPr>
          <w:rFonts w:ascii="Verdana" w:hAnsi="Verdana"/>
          <w:bCs/>
          <w:strike/>
          <w:sz w:val="18"/>
          <w:szCs w:val="18"/>
          <w:lang w:val="x-none" w:eastAsia="x-none"/>
        </w:rPr>
        <w:t>kV</w:t>
      </w:r>
      <w:proofErr w:type="spellEnd"/>
      <w:r w:rsidRPr="008D7F7D">
        <w:rPr>
          <w:rFonts w:ascii="Verdana" w:hAnsi="Verdana"/>
          <w:bCs/>
          <w:strike/>
          <w:sz w:val="18"/>
          <w:szCs w:val="18"/>
          <w:lang w:val="x-none" w:eastAsia="x-none"/>
        </w:rPr>
        <w:t xml:space="preserve"> wskazanych poniżej przez Zamawiającego. </w:t>
      </w:r>
    </w:p>
    <w:p w14:paraId="2AD543A6" w14:textId="77777777" w:rsidR="0048169F" w:rsidRPr="008D7F7D" w:rsidRDefault="0048169F" w:rsidP="0048169F">
      <w:pPr>
        <w:pStyle w:val="Akapitzlist"/>
        <w:ind w:left="1080" w:firstLine="0"/>
        <w:rPr>
          <w:rFonts w:ascii="Verdana" w:hAnsi="Verdana"/>
          <w:bCs/>
          <w:strike/>
          <w:sz w:val="18"/>
          <w:szCs w:val="18"/>
          <w:lang w:val="x-none" w:eastAsia="x-none"/>
        </w:rPr>
      </w:pPr>
      <w:r w:rsidRPr="008D7F7D">
        <w:rPr>
          <w:rFonts w:ascii="Verdana" w:hAnsi="Verdana"/>
          <w:bCs/>
          <w:strike/>
          <w:sz w:val="18"/>
          <w:szCs w:val="18"/>
          <w:lang w:val="x-none" w:eastAsia="x-none"/>
        </w:rPr>
        <w:t xml:space="preserve">Stacje transformatorowe 15/0,4 </w:t>
      </w:r>
      <w:proofErr w:type="spellStart"/>
      <w:r w:rsidRPr="008D7F7D">
        <w:rPr>
          <w:rFonts w:ascii="Verdana" w:hAnsi="Verdana"/>
          <w:bCs/>
          <w:strike/>
          <w:sz w:val="18"/>
          <w:szCs w:val="18"/>
          <w:lang w:val="x-none" w:eastAsia="x-none"/>
        </w:rPr>
        <w:t>kV</w:t>
      </w:r>
      <w:proofErr w:type="spellEnd"/>
      <w:r w:rsidRPr="008D7F7D">
        <w:rPr>
          <w:rFonts w:ascii="Verdana" w:hAnsi="Verdana"/>
          <w:bCs/>
          <w:strike/>
          <w:sz w:val="18"/>
          <w:szCs w:val="18"/>
          <w:lang w:val="x-none" w:eastAsia="x-none"/>
        </w:rPr>
        <w:t xml:space="preserve"> wskazane przez Zamawiającego do zasilania jednostkami prądotwórczymi:</w:t>
      </w:r>
    </w:p>
    <w:p w14:paraId="5290F019" w14:textId="77777777" w:rsidR="0048169F" w:rsidRPr="008D7F7D" w:rsidRDefault="0048169F" w:rsidP="0048169F">
      <w:pPr>
        <w:pStyle w:val="Akapitzlist"/>
        <w:ind w:left="1080" w:firstLine="0"/>
        <w:rPr>
          <w:rFonts w:ascii="Verdana" w:hAnsi="Verdana"/>
          <w:bCs/>
          <w:strike/>
          <w:color w:val="FF0000"/>
          <w:sz w:val="18"/>
          <w:szCs w:val="18"/>
          <w:lang w:val="x-none" w:eastAsia="x-none"/>
        </w:rPr>
      </w:pPr>
      <w:r w:rsidRPr="008D7F7D">
        <w:rPr>
          <w:rFonts w:ascii="Verdana" w:hAnsi="Verdana"/>
          <w:bCs/>
          <w:strike/>
          <w:color w:val="FF0000"/>
          <w:sz w:val="18"/>
          <w:szCs w:val="18"/>
          <w:lang w:val="x-none" w:eastAsia="x-none"/>
        </w:rPr>
        <w:t>… (nazwa, nr eksploatacyjny i moc stacji/transformatora),</w:t>
      </w:r>
    </w:p>
    <w:p w14:paraId="1D57E326" w14:textId="77777777" w:rsidR="0048169F" w:rsidRPr="008D7F7D" w:rsidRDefault="0048169F" w:rsidP="0048169F">
      <w:pPr>
        <w:pStyle w:val="Akapitzlist"/>
        <w:ind w:left="1080" w:firstLine="0"/>
        <w:rPr>
          <w:rFonts w:ascii="Verdana" w:hAnsi="Verdana"/>
          <w:bCs/>
          <w:strike/>
          <w:color w:val="FF0000"/>
          <w:sz w:val="18"/>
          <w:szCs w:val="18"/>
          <w:lang w:val="x-none" w:eastAsia="x-none"/>
        </w:rPr>
      </w:pPr>
      <w:r w:rsidRPr="008D7F7D">
        <w:rPr>
          <w:rFonts w:ascii="Verdana" w:hAnsi="Verdana"/>
          <w:bCs/>
          <w:strike/>
          <w:color w:val="FF0000"/>
          <w:sz w:val="18"/>
          <w:szCs w:val="18"/>
          <w:lang w:val="x-none" w:eastAsia="x-none"/>
        </w:rPr>
        <w:t>… (nazwa, nr eksploatacyjny i moc stacji/transformatora),</w:t>
      </w:r>
    </w:p>
    <w:p w14:paraId="4FB1EA24" w14:textId="77777777" w:rsidR="0048169F" w:rsidRPr="008D7F7D" w:rsidRDefault="0048169F" w:rsidP="00D51588">
      <w:pPr>
        <w:pStyle w:val="Akapitzlist"/>
        <w:ind w:left="1080" w:firstLine="0"/>
        <w:rPr>
          <w:rFonts w:ascii="Verdana" w:hAnsi="Verdana"/>
          <w:bCs/>
          <w:strike/>
          <w:color w:val="FF0000"/>
          <w:sz w:val="18"/>
          <w:szCs w:val="18"/>
          <w:lang w:val="x-none" w:eastAsia="x-none"/>
        </w:rPr>
      </w:pPr>
      <w:r w:rsidRPr="008D7F7D">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lastRenderedPageBreak/>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69946D30"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E2DC458"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BA4FCF9" w14:textId="026C5342" w:rsidR="0088082F" w:rsidRPr="006B2C28" w:rsidRDefault="004A1F7F" w:rsidP="0088082F">
          <w:pPr>
            <w:suppressAutoHyphens/>
            <w:ind w:right="187"/>
            <w:rPr>
              <w:rFonts w:asciiTheme="majorHAnsi" w:hAnsiTheme="majorHAnsi"/>
              <w:color w:val="000000" w:themeColor="text1"/>
              <w:sz w:val="14"/>
              <w:szCs w:val="18"/>
            </w:rPr>
          </w:pPr>
          <w:r w:rsidRPr="004A1F7F">
            <w:rPr>
              <w:rFonts w:asciiTheme="majorHAnsi" w:hAnsiTheme="majorHAnsi"/>
              <w:color w:val="000000" w:themeColor="text1"/>
              <w:sz w:val="14"/>
              <w:szCs w:val="18"/>
            </w:rPr>
            <w:t>POST/DYS/OLD/GZ/00144/2026</w:t>
          </w: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786D1B77" w:rsidR="0074541C" w:rsidRPr="00C45C06" w:rsidRDefault="0088082F" w:rsidP="0088082F">
    <w:pPr>
      <w:pStyle w:val="Zanag2"/>
      <w:jc w:val="right"/>
      <w:rPr>
        <w:rFonts w:ascii="Calibri" w:hAnsi="Calibri" w:cs="Calibri"/>
        <w:caps w:val="0"/>
        <w:color w:val="7030A0"/>
        <w:sz w:val="24"/>
      </w:rPr>
    </w:pPr>
    <w:r w:rsidRPr="00FF6090">
      <w:rPr>
        <w:rFonts w:ascii="Verdana" w:eastAsia="Verdana" w:hAnsi="Verdana"/>
        <w:sz w:val="18"/>
        <w:szCs w:val="18"/>
      </w:rPr>
      <w:t xml:space="preserve">ZAŁĄCZNIK NR 1.7 DO </w:t>
    </w:r>
    <w:r w:rsidR="004A1F7F">
      <w:rPr>
        <w:rFonts w:ascii="Verdana" w:eastAsia="Verdana" w:hAnsi="Verdana"/>
        <w:sz w:val="18"/>
        <w:szCs w:val="18"/>
      </w:rPr>
      <w:t>OPZ</w:t>
    </w:r>
    <w:r w:rsidRPr="00FF6090">
      <w:rPr>
        <w:rFonts w:ascii="Verdana" w:eastAsia="Verdana" w:hAnsi="Verdana"/>
        <w:sz w:val="18"/>
        <w:szCs w:val="18"/>
      </w:rPr>
      <w:t xml:space="preserve"> – SPECYFIKACJA TECHNICZNA</w:t>
    </w:r>
    <w:r w:rsidR="004A1F7F">
      <w:rPr>
        <w:rFonts w:ascii="Verdana" w:eastAsia="Verdana" w:hAnsi="Verdana"/>
        <w:sz w:val="18"/>
        <w:szCs w:val="18"/>
      </w:rPr>
      <w:t xml:space="preserve"> DLA CZ.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30427983">
    <w:abstractNumId w:val="69"/>
  </w:num>
  <w:num w:numId="2" w16cid:durableId="476189069">
    <w:abstractNumId w:val="62"/>
  </w:num>
  <w:num w:numId="3" w16cid:durableId="1125463726">
    <w:abstractNumId w:val="66"/>
  </w:num>
  <w:num w:numId="4" w16cid:durableId="230695166">
    <w:abstractNumId w:val="70"/>
  </w:num>
  <w:num w:numId="5" w16cid:durableId="2015187279">
    <w:abstractNumId w:val="60"/>
  </w:num>
  <w:num w:numId="6" w16cid:durableId="687172886">
    <w:abstractNumId w:val="67"/>
  </w:num>
  <w:num w:numId="7" w16cid:durableId="169226449">
    <w:abstractNumId w:val="75"/>
  </w:num>
  <w:num w:numId="8" w16cid:durableId="1607226858">
    <w:abstractNumId w:val="73"/>
  </w:num>
  <w:num w:numId="9" w16cid:durableId="641467231">
    <w:abstractNumId w:val="72"/>
  </w:num>
  <w:num w:numId="10" w16cid:durableId="700789536">
    <w:abstractNumId w:val="53"/>
  </w:num>
  <w:num w:numId="11" w16cid:durableId="1923953148">
    <w:abstractNumId w:val="54"/>
  </w:num>
  <w:num w:numId="12" w16cid:durableId="385884104">
    <w:abstractNumId w:val="68"/>
  </w:num>
  <w:num w:numId="13" w16cid:durableId="1859931690">
    <w:abstractNumId w:val="56"/>
  </w:num>
  <w:num w:numId="14" w16cid:durableId="589508262">
    <w:abstractNumId w:val="61"/>
  </w:num>
  <w:num w:numId="15" w16cid:durableId="1755467866">
    <w:abstractNumId w:val="58"/>
  </w:num>
  <w:num w:numId="16" w16cid:durableId="286162864">
    <w:abstractNumId w:val="55"/>
  </w:num>
  <w:num w:numId="17" w16cid:durableId="407269220">
    <w:abstractNumId w:val="71"/>
  </w:num>
  <w:num w:numId="18" w16cid:durableId="2035227158">
    <w:abstractNumId w:val="59"/>
  </w:num>
  <w:num w:numId="19" w16cid:durableId="382799147">
    <w:abstractNumId w:val="63"/>
  </w:num>
  <w:num w:numId="20" w16cid:durableId="856191641">
    <w:abstractNumId w:val="53"/>
    <w:lvlOverride w:ilvl="0">
      <w:startOverride w:val="1"/>
    </w:lvlOverride>
  </w:num>
  <w:num w:numId="21" w16cid:durableId="633365812">
    <w:abstractNumId w:val="64"/>
  </w:num>
  <w:num w:numId="22" w16cid:durableId="83965689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730122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469201">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361"/>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1183"/>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1F7F"/>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6AF8"/>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2D23"/>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86E3E"/>
    <w:rsid w:val="00790C65"/>
    <w:rsid w:val="007921BA"/>
    <w:rsid w:val="00792B4A"/>
    <w:rsid w:val="00794BF1"/>
    <w:rsid w:val="00794D6B"/>
    <w:rsid w:val="00794F67"/>
    <w:rsid w:val="007960F6"/>
    <w:rsid w:val="007970B9"/>
    <w:rsid w:val="00797F5C"/>
    <w:rsid w:val="007A3360"/>
    <w:rsid w:val="007A3A02"/>
    <w:rsid w:val="007A469F"/>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D7F7D"/>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6919"/>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OPZ - Specyfikacja techniczna dla cz. 1.docx</dmsv2BaseFileName>
    <dmsv2BaseDisplayName xmlns="http://schemas.microsoft.com/sharepoint/v3">Załącznik nr 1.7 do OPZ - Specyfikacja techniczna dla cz. 1</dmsv2BaseDisplayName>
    <dmsv2SWPP2ObjectNumber xmlns="http://schemas.microsoft.com/sharepoint/v3">POST/DYS/OLD/GZ/00144/2026                        </dmsv2SWPP2ObjectNumber>
    <dmsv2SWPP2SumMD5 xmlns="http://schemas.microsoft.com/sharepoint/v3">6832a270872e09b54b96eadfc724b81b</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24158156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JEUP5JKVCYQC-1092029480-20965</_dlc_DocId>
    <_dlc_DocIdUrl xmlns="a19cb1c7-c5c7-46d4-85ae-d83685407bba">
      <Url>https://swpp2.dms.gkpge.pl/sites/41/_layouts/15/DocIdRedir.aspx?ID=JEUP5JKVCYQC-1092029480-20965</Url>
      <Description>JEUP5JKVCYQC-1092029480-20965</Description>
    </_dlc_DocIdUrl>
  </documentManagement>
</p:properties>
</file>

<file path=customXml/itemProps1.xml><?xml version="1.0" encoding="utf-8"?>
<ds:datastoreItem xmlns:ds="http://schemas.openxmlformats.org/officeDocument/2006/customXml" ds:itemID="{F48B679F-A0EC-4FC0-9DFE-8D43EBE24962}">
  <ds:schemaRefs>
    <ds:schemaRef ds:uri="http://schemas.microsoft.com/sharepoint/v3/contenttype/forms"/>
  </ds:schemaRefs>
</ds:datastoreItem>
</file>

<file path=customXml/itemProps2.xml><?xml version="1.0" encoding="utf-8"?>
<ds:datastoreItem xmlns:ds="http://schemas.openxmlformats.org/officeDocument/2006/customXml" ds:itemID="{AEDA09B4-DA0F-469F-8FFE-55FB3ED11C42}">
  <ds:schemaRefs>
    <ds:schemaRef ds:uri="http://schemas.microsoft.com/sharepoint/events"/>
  </ds:schemaRefs>
</ds:datastoreItem>
</file>

<file path=customXml/itemProps3.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4.xml><?xml version="1.0" encoding="utf-8"?>
<ds:datastoreItem xmlns:ds="http://schemas.openxmlformats.org/officeDocument/2006/customXml" ds:itemID="{3616358F-6BC2-4FE7-88F1-2FA03D16B123}"/>
</file>

<file path=customXml/itemProps5.xml><?xml version="1.0" encoding="utf-8"?>
<ds:datastoreItem xmlns:ds="http://schemas.openxmlformats.org/officeDocument/2006/customXml" ds:itemID="{F296D6E4-EE33-4DC3-882D-C57222C668B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2676</Words>
  <Characters>18982</Characters>
  <Application>Microsoft Office Word</Application>
  <DocSecurity>0</DocSecurity>
  <Lines>158</Lines>
  <Paragraphs>43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21615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Jarosz Klaudia [PGE Dystr. O.Łódź]</cp:lastModifiedBy>
  <cp:revision>6</cp:revision>
  <cp:lastPrinted>2021-09-22T09:55:00Z</cp:lastPrinted>
  <dcterms:created xsi:type="dcterms:W3CDTF">2025-10-13T10:56:00Z</dcterms:created>
  <dcterms:modified xsi:type="dcterms:W3CDTF">2026-01-20T11:44:00Z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e2f28b5a-2c4d-42fa-a465-ef7d9d4e90f6</vt:lpwstr>
  </property>
</Properties>
</file>